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26-119</w:t>
      </w:r>
    </w:p>
    <w:p>
      <w:pPr>
        <w:spacing w:before="0" w:after="0" w:line="480"/>
        <w:ind w:left="120"/>
        <w:jc w:val="left"/>
      </w:pPr>
    </w:p>
    <w:p>
      <w:pPr>
        <w:spacing w:before="0" w:after="0" w:line="480"/>
        <w:ind w:left="120"/>
        <w:jc w:val="center"/>
      </w:pPr>
      <w:r>
        <w:rPr>
          <w:rFonts w:ascii="Times New Roman" w:hAnsi="Times New Roman"/>
          <w:b/>
          <w:i w:val="false"/>
          <w:color w:val="000000"/>
          <w:sz w:val="28"/>
        </w:rPr>
        <w:t>COMMUNICATIONS NETWORK, IOWA[751]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751—Chapter 14</w:t>
      </w:r>
    </w:p>
    <w:p>
      <w:pPr>
        <w:spacing w:before="0" w:after="0" w:line="480"/>
        <w:ind w:left="120"/>
        <w:jc w:val="center"/>
      </w:pPr>
      <w:r>
        <w:rPr>
          <w:rFonts w:ascii="Times New Roman" w:hAnsi="Times New Roman"/>
          <w:b w:val="false"/>
          <w:i w:val="false"/>
          <w:color w:val="000000"/>
          <w:sz w:val="24"/>
        </w:rPr>
        <w:t>“Access to Facilities”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8D</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2370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ICN Director’s Conference Room</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 xml:space="preserve">Des Moines, Iowa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Iowa Communications Network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Lori Larsen</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515.725.4713</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lori.larsen@icn.state.ia.us</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agency proposes to rescind Chapter 14 and adopt a new chapter in lieu thereof. The chapter describes the access to facilities and guidelines in which the statewide network is administered throughout the State. This proposed rulemaking eliminates language that is overly restrictive or obsolete and shortens the chapter.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direct cost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All individuals within the State benefit from a well-run and organized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quantitative impact.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is positive; the rulemaking simplifies the regulatory environment by removing obsolete language and providing clearer guidance on the access to facilities.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or the agency associated with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rulemaking has no costs associated with it and ensures the agency has a basic structure.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agency seeks to implement these rules in a minimally intrusive and minimally prescriptive manner while still fulfilling the responsibilities of maintaining a well-run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considered because the proposed rulemaking is necessary to comply with the Executive Order 10 mandate to streamline and modernize existing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rules govern internal facility access and do not impose requirements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14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14</w:t>
      </w:r>
    </w:p>
    <w:p>
      <w:pPr>
        <w:spacing w:before="0" w:after="0" w:line="480"/>
        <w:ind w:left="120"/>
        <w:jc w:val="center"/>
      </w:pPr>
      <w:r>
        <w:rPr>
          <w:rFonts w:ascii="Times New Roman" w:hAnsi="Times New Roman"/>
          <w:b w:val="false"/>
          <w:i w:val="false"/>
          <w:color w:val="000000"/>
          <w:sz w:val="21"/>
        </w:rPr>
        <w:t>ACCESS TO FACILITIES</w:t>
      </w:r>
    </w:p>
    <w:p>
      <w:pPr>
        <w:spacing w:before="210" w:after="0" w:line="480"/>
        <w:ind w:left="120"/>
        <w:jc w:val="both"/>
      </w:pPr>
      <w:r>
        <w:rPr>
          <w:rFonts w:ascii="Times New Roman" w:hAnsi="Times New Roman"/>
          <w:b/>
          <w:i w:val="false"/>
          <w:color w:val="000000"/>
          <w:sz w:val="24"/>
        </w:rPr>
        <w:t>751—14.1</w:t>
      </w:r>
      <w:r>
        <w:rPr>
          <w:rFonts w:ascii="Times New Roman" w:hAnsi="Times New Roman"/>
          <w:b/>
          <w:i w:val="false"/>
          <w:color w:val="000000"/>
          <w:sz w:val="24"/>
        </w:rPr>
        <w:t xml:space="preserve">(8D) </w:t>
      </w:r>
      <w:r>
        <w:rPr>
          <w:rFonts w:ascii="Times New Roman" w:hAnsi="Times New Roman"/>
          <w:b/>
          <w:i w:val="false"/>
          <w:color w:val="000000"/>
          <w:sz w:val="24"/>
        </w:rPr>
        <w:t xml:space="preserve">Purpose and scope. </w:t>
      </w:r>
      <w:r>
        <w:rPr>
          <w:rFonts w:ascii="Times New Roman" w:hAnsi="Times New Roman"/>
          <w:b w:val="false"/>
          <w:i w:val="false"/>
          <w:color w:val="000000"/>
          <w:sz w:val="24"/>
        </w:rPr>
        <w:t>The purpose of this chapter is to protect the integrity, security, and reliability of the network by regulating access to commission-owned or operated facilities, including network hubs, regeneration sites, and equipment rooms.</w:t>
      </w:r>
    </w:p>
    <w:p>
      <w:pPr>
        <w:spacing w:before="0" w:after="0" w:line="480"/>
        <w:ind w:left="120"/>
        <w:jc w:val="both"/>
      </w:pPr>
      <w:r>
        <w:rPr>
          <w:rFonts w:ascii="Times New Roman" w:hAnsi="Times New Roman"/>
          <w:b/>
          <w:i w:val="false"/>
          <w:color w:val="000000"/>
          <w:sz w:val="24"/>
        </w:rPr>
        <w:t>751—14.2</w:t>
      </w:r>
      <w:r>
        <w:rPr>
          <w:rFonts w:ascii="Times New Roman" w:hAnsi="Times New Roman"/>
          <w:b/>
          <w:i w:val="false"/>
          <w:color w:val="000000"/>
          <w:sz w:val="24"/>
        </w:rPr>
        <w:t xml:space="preserve">(8D) </w:t>
      </w:r>
      <w:r>
        <w:rPr>
          <w:rFonts w:ascii="Times New Roman" w:hAnsi="Times New Roman"/>
          <w:b/>
          <w:i w:val="false"/>
          <w:color w:val="000000"/>
          <w:sz w:val="24"/>
        </w:rPr>
        <w:t xml:space="preserve">Authorized access. </w:t>
      </w:r>
      <w:r>
        <w:rPr>
          <w:rFonts w:ascii="Times New Roman" w:hAnsi="Times New Roman"/>
          <w:b w:val="false"/>
          <w:i w:val="false"/>
          <w:color w:val="000000"/>
          <w:sz w:val="24"/>
        </w:rPr>
        <w:t>Access to commission facilities is restricted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14.2(1)</w:t>
      </w:r>
      <w:r>
        <w:rPr>
          <w:rFonts w:ascii="Times New Roman" w:hAnsi="Times New Roman"/>
          <w:b w:val="false"/>
          <w:i w:val="false"/>
          <w:color w:val="000000"/>
          <w:sz w:val="24"/>
        </w:rPr>
        <w:t> </w:t>
      </w:r>
      <w:r>
        <w:rPr>
          <w:rFonts w:ascii="Times New Roman" w:hAnsi="Times New Roman"/>
          <w:b w:val="false"/>
          <w:i w:val="false"/>
          <w:color w:val="000000"/>
          <w:sz w:val="24"/>
        </w:rPr>
        <w:t>Commission employees and agents acting within the scope of their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14.2(2)</w:t>
      </w:r>
      <w:r>
        <w:rPr>
          <w:rFonts w:ascii="Times New Roman" w:hAnsi="Times New Roman"/>
          <w:b w:val="false"/>
          <w:i w:val="false"/>
          <w:color w:val="000000"/>
          <w:sz w:val="24"/>
        </w:rPr>
        <w:t> </w:t>
      </w:r>
      <w:r>
        <w:rPr>
          <w:rFonts w:ascii="Times New Roman" w:hAnsi="Times New Roman"/>
          <w:b w:val="false"/>
          <w:i w:val="false"/>
          <w:color w:val="000000"/>
          <w:sz w:val="24"/>
        </w:rPr>
        <w:t>Authorized vendors and contractors who have a valid contract or service agreement with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14.2(3)</w:t>
      </w:r>
      <w:r>
        <w:rPr>
          <w:rFonts w:ascii="Times New Roman" w:hAnsi="Times New Roman"/>
          <w:b w:val="false"/>
          <w:i w:val="false"/>
          <w:color w:val="000000"/>
          <w:sz w:val="24"/>
        </w:rPr>
        <w:t> </w:t>
      </w:r>
      <w:r>
        <w:rPr>
          <w:rFonts w:ascii="Times New Roman" w:hAnsi="Times New Roman"/>
          <w:b w:val="false"/>
          <w:i w:val="false"/>
          <w:color w:val="000000"/>
          <w:sz w:val="24"/>
        </w:rPr>
        <w:t>Colocation partners as defined in a written colocation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14.2(4)</w:t>
      </w:r>
      <w:r>
        <w:rPr>
          <w:rFonts w:ascii="Times New Roman" w:hAnsi="Times New Roman"/>
          <w:b w:val="false"/>
          <w:i w:val="false"/>
          <w:color w:val="000000"/>
          <w:sz w:val="24"/>
        </w:rPr>
        <w:t> </w:t>
      </w:r>
      <w:r>
        <w:rPr>
          <w:rFonts w:ascii="Times New Roman" w:hAnsi="Times New Roman"/>
          <w:b w:val="false"/>
          <w:i w:val="false"/>
          <w:color w:val="000000"/>
          <w:sz w:val="24"/>
        </w:rPr>
        <w:t>Emergency response personnel.</w:t>
      </w:r>
    </w:p>
    <w:p>
      <w:pPr>
        <w:spacing w:before="0" w:after="0" w:line="480"/>
        <w:ind w:left="120"/>
        <w:jc w:val="both"/>
      </w:pPr>
      <w:r>
        <w:rPr>
          <w:rFonts w:ascii="Times New Roman" w:hAnsi="Times New Roman"/>
          <w:b/>
          <w:i w:val="false"/>
          <w:color w:val="000000"/>
          <w:sz w:val="24"/>
        </w:rPr>
        <w:t>751—14.3</w:t>
      </w:r>
      <w:r>
        <w:rPr>
          <w:rFonts w:ascii="Times New Roman" w:hAnsi="Times New Roman"/>
          <w:b/>
          <w:i w:val="false"/>
          <w:color w:val="000000"/>
          <w:sz w:val="24"/>
        </w:rPr>
        <w:t xml:space="preserve">(8D) </w:t>
      </w:r>
      <w:r>
        <w:rPr>
          <w:rFonts w:ascii="Times New Roman" w:hAnsi="Times New Roman"/>
          <w:b/>
          <w:i w:val="false"/>
          <w:color w:val="000000"/>
          <w:sz w:val="24"/>
        </w:rPr>
        <w:t xml:space="preserve">Security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14.3(1)</w:t>
      </w:r>
      <w:r>
        <w:rPr>
          <w:rFonts w:ascii="Times New Roman" w:hAnsi="Times New Roman"/>
          <w:b w:val="false"/>
          <w:i w:val="false"/>
          <w:color w:val="000000"/>
          <w:sz w:val="24"/>
        </w:rPr>
        <w:t> </w:t>
      </w:r>
      <w:r>
        <w:rPr>
          <w:rFonts w:ascii="Times New Roman" w:hAnsi="Times New Roman"/>
          <w:b w:val="false"/>
          <w:i/>
          <w:color w:val="000000"/>
          <w:sz w:val="24"/>
        </w:rPr>
        <w:t xml:space="preserve">Credentials. </w:t>
      </w:r>
      <w:r>
        <w:rPr>
          <w:rFonts w:ascii="Times New Roman" w:hAnsi="Times New Roman"/>
          <w:b w:val="false"/>
          <w:i w:val="false"/>
          <w:color w:val="000000"/>
          <w:sz w:val="24"/>
        </w:rPr>
        <w:t>All individuals entering a commission facility must possess valid identification and commission-issued credentials (key card, key, or access code). Credentials are nontransferable and shall not be shared or loaned.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14.3(2)</w:t>
      </w:r>
      <w:r>
        <w:rPr>
          <w:rFonts w:ascii="Times New Roman" w:hAnsi="Times New Roman"/>
          <w:b w:val="false"/>
          <w:i w:val="false"/>
          <w:color w:val="000000"/>
          <w:sz w:val="24"/>
        </w:rPr>
        <w:t> </w:t>
      </w:r>
      <w:r>
        <w:rPr>
          <w:rFonts w:ascii="Times New Roman" w:hAnsi="Times New Roman"/>
          <w:b w:val="false"/>
          <w:i/>
          <w:color w:val="000000"/>
          <w:sz w:val="24"/>
        </w:rPr>
        <w:t xml:space="preserve">Background checks. </w:t>
      </w:r>
      <w:r>
        <w:rPr>
          <w:rFonts w:ascii="Times New Roman" w:hAnsi="Times New Roman"/>
          <w:b w:val="false"/>
          <w:i w:val="false"/>
          <w:color w:val="000000"/>
          <w:sz w:val="24"/>
        </w:rPr>
        <w:t>The commission reserves the right to require criminal history background checks for any nonemployee requesting access to critical infrastructure.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14.3(3)</w:t>
      </w:r>
      <w:r>
        <w:rPr>
          <w:rFonts w:ascii="Times New Roman" w:hAnsi="Times New Roman"/>
          <w:b w:val="false"/>
          <w:i w:val="false"/>
          <w:color w:val="000000"/>
          <w:sz w:val="24"/>
        </w:rPr>
        <w:t> </w:t>
      </w:r>
      <w:r>
        <w:rPr>
          <w:rFonts w:ascii="Times New Roman" w:hAnsi="Times New Roman"/>
          <w:b w:val="false"/>
          <w:i/>
          <w:color w:val="000000"/>
          <w:sz w:val="24"/>
        </w:rPr>
        <w:t xml:space="preserve">Logs. </w:t>
      </w:r>
      <w:r>
        <w:rPr>
          <w:rFonts w:ascii="Times New Roman" w:hAnsi="Times New Roman"/>
          <w:b w:val="false"/>
          <w:i w:val="false"/>
          <w:color w:val="000000"/>
          <w:sz w:val="24"/>
        </w:rPr>
        <w:t>All entry and exit from commission facilities shall be logged. Use of a monitored electronic access control system satisfies this requirement.</w:t>
      </w:r>
    </w:p>
    <w:p>
      <w:pPr>
        <w:spacing w:before="0" w:after="0" w:line="480"/>
        <w:ind w:left="120"/>
        <w:jc w:val="both"/>
      </w:pPr>
      <w:r>
        <w:rPr>
          <w:rFonts w:ascii="Times New Roman" w:hAnsi="Times New Roman"/>
          <w:b/>
          <w:i w:val="false"/>
          <w:color w:val="000000"/>
          <w:sz w:val="24"/>
        </w:rPr>
        <w:t>751—14.4</w:t>
      </w:r>
      <w:r>
        <w:rPr>
          <w:rFonts w:ascii="Times New Roman" w:hAnsi="Times New Roman"/>
          <w:b/>
          <w:i w:val="false"/>
          <w:color w:val="000000"/>
          <w:sz w:val="24"/>
        </w:rPr>
        <w:t xml:space="preserve">(8D) </w:t>
      </w:r>
      <w:r>
        <w:rPr>
          <w:rFonts w:ascii="Times New Roman" w:hAnsi="Times New Roman"/>
          <w:b/>
          <w:i w:val="false"/>
          <w:color w:val="000000"/>
          <w:sz w:val="24"/>
        </w:rPr>
        <w:t xml:space="preserve">Vendor and colocation access.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14.4(1)</w:t>
      </w:r>
      <w:r>
        <w:rPr>
          <w:rFonts w:ascii="Times New Roman" w:hAnsi="Times New Roman"/>
          <w:b w:val="false"/>
          <w:i w:val="false"/>
          <w:color w:val="000000"/>
          <w:sz w:val="24"/>
        </w:rPr>
        <w:t> </w:t>
      </w:r>
      <w:r>
        <w:rPr>
          <w:rFonts w:ascii="Times New Roman" w:hAnsi="Times New Roman"/>
          <w:b w:val="false"/>
          <w:i/>
          <w:color w:val="000000"/>
          <w:sz w:val="24"/>
        </w:rPr>
        <w:t xml:space="preserve">Authorization. </w:t>
      </w:r>
      <w:r>
        <w:rPr>
          <w:rFonts w:ascii="Times New Roman" w:hAnsi="Times New Roman"/>
          <w:b w:val="false"/>
          <w:i w:val="false"/>
          <w:color w:val="000000"/>
          <w:sz w:val="24"/>
        </w:rPr>
        <w:t>In support of the commission, third-party vendors and colocation partners may be granted access to specific facilities for the installation, maintenance, or removal of their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14.4(2)</w:t>
      </w:r>
      <w:r>
        <w:rPr>
          <w:rFonts w:ascii="Times New Roman" w:hAnsi="Times New Roman"/>
          <w:b w:val="false"/>
          <w:i w:val="false"/>
          <w:color w:val="000000"/>
          <w:sz w:val="24"/>
        </w:rPr>
        <w:t> </w:t>
      </w:r>
      <w:r>
        <w:rPr>
          <w:rFonts w:ascii="Times New Roman" w:hAnsi="Times New Roman"/>
          <w:b w:val="false"/>
          <w:i/>
          <w:color w:val="000000"/>
          <w:sz w:val="24"/>
        </w:rPr>
        <w:t xml:space="preserve">Liability. </w:t>
      </w:r>
      <w:r>
        <w:rPr>
          <w:rFonts w:ascii="Times New Roman" w:hAnsi="Times New Roman"/>
          <w:b w:val="false"/>
          <w:i w:val="false"/>
          <w:color w:val="000000"/>
          <w:sz w:val="24"/>
        </w:rPr>
        <w:t>Any vendor or colocation partner entering a commission facility assumes full liability for any damage caused to the network, the facility, or the equipment of other tenants by the vendor’s or colocation partner’s employees or agents.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14.4(3)</w:t>
      </w:r>
      <w:r>
        <w:rPr>
          <w:rFonts w:ascii="Times New Roman" w:hAnsi="Times New Roman"/>
          <w:b w:val="false"/>
          <w:i w:val="false"/>
          <w:color w:val="000000"/>
          <w:sz w:val="24"/>
        </w:rPr>
        <w:t> </w:t>
      </w:r>
      <w:r>
        <w:rPr>
          <w:rFonts w:ascii="Times New Roman" w:hAnsi="Times New Roman"/>
          <w:b w:val="false"/>
          <w:i/>
          <w:color w:val="000000"/>
          <w:sz w:val="24"/>
        </w:rPr>
        <w:t xml:space="preserve">Revocation. </w:t>
      </w:r>
      <w:r>
        <w:rPr>
          <w:rFonts w:ascii="Times New Roman" w:hAnsi="Times New Roman"/>
          <w:b w:val="false"/>
          <w:i w:val="false"/>
          <w:color w:val="000000"/>
          <w:sz w:val="24"/>
        </w:rPr>
        <w:t>The commission may immediately revoke access privileges for any individual who violates security protocols or endangers the network.</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6">
        <w:r>
          <w:rPr>
            <w:rStyle w:val="Hyperlink"/>
            <w:rFonts w:ascii="Times New Roman" w:hAnsi="Times New Roman"/>
            <w:b w:val="false"/>
            <w:i w:val="false"/>
            <w:color w:val="000000"/>
            <w:sz w:val="24"/>
          </w:rPr>
          <w:t>8D.3</w:t>
        </w:r>
      </w:hyperlink>
      <w:r>
        <w:rPr>
          <w:rFonts w:ascii="Times New Roman" w:hAnsi="Times New Roman"/>
          <w:b w:val="false"/>
          <w:i w:val="false"/>
          <w:color w:val="000000"/>
          <w:sz w:val="24"/>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cn.state.ia.us" Type="http://schemas.openxmlformats.org/officeDocument/2006/relationships/hyperlink" Id="rId4"/>
    <Relationship TargetMode="External" Target="mailto:lori.larsen@iowa.gov" Type="http://schemas.openxmlformats.org/officeDocument/2006/relationships/hyperlink" Id="rId5"/>
    <Relationship TargetMode="External" Target="https://www.legis.iowa.gov/docs/ico/chapter/8D.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